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1E0"/>
      </w:tblPr>
      <w:tblGrid>
        <w:gridCol w:w="9682"/>
      </w:tblGrid>
      <w:tr w:rsidR="00E14B20" w:rsidRPr="00B94C87" w:rsidTr="00880895">
        <w:trPr>
          <w:trHeight w:val="282"/>
        </w:trPr>
        <w:tc>
          <w:tcPr>
            <w:tcW w:w="9682" w:type="dxa"/>
          </w:tcPr>
          <w:p w:rsidR="00E14B20" w:rsidRPr="005000E9" w:rsidRDefault="00E14B20" w:rsidP="00633DBC">
            <w:pPr>
              <w:spacing w:after="120"/>
              <w:jc w:val="center"/>
              <w:rPr>
                <w:b/>
                <w:bCs/>
                <w:spacing w:val="20"/>
              </w:rPr>
            </w:pPr>
            <w:r w:rsidRPr="005000E9">
              <w:rPr>
                <w:b/>
                <w:bCs/>
                <w:spacing w:val="20"/>
              </w:rPr>
              <w:t>Министерство образования и науки Российской Федерации</w:t>
            </w:r>
          </w:p>
        </w:tc>
      </w:tr>
      <w:tr w:rsidR="00E14B20" w:rsidRPr="00B94C87" w:rsidTr="00880895">
        <w:trPr>
          <w:trHeight w:val="544"/>
        </w:trPr>
        <w:tc>
          <w:tcPr>
            <w:tcW w:w="9682" w:type="dxa"/>
          </w:tcPr>
          <w:p w:rsidR="00E14B20" w:rsidRPr="00B94C87" w:rsidRDefault="00E14B20" w:rsidP="00633DBC">
            <w:pPr>
              <w:spacing w:after="120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ф</w:t>
            </w:r>
            <w:r w:rsidRPr="00B94C87">
              <w:rPr>
                <w:b/>
                <w:bCs/>
              </w:rPr>
              <w:t xml:space="preserve">едеральное государственное </w:t>
            </w:r>
            <w:r>
              <w:rPr>
                <w:b/>
                <w:bCs/>
              </w:rPr>
              <w:t>автоном</w:t>
            </w:r>
            <w:r w:rsidRPr="00B94C87">
              <w:rPr>
                <w:b/>
                <w:bCs/>
              </w:rPr>
              <w:t xml:space="preserve">ное образовательное учреждение </w:t>
            </w:r>
            <w:r w:rsidRPr="00B94C87">
              <w:rPr>
                <w:b/>
                <w:bCs/>
              </w:rPr>
              <w:br/>
              <w:t>высшего профессионального образования</w:t>
            </w:r>
          </w:p>
        </w:tc>
      </w:tr>
      <w:tr w:rsidR="00E14B20" w:rsidRPr="00B94C87" w:rsidTr="00633DBC">
        <w:tc>
          <w:tcPr>
            <w:tcW w:w="9682" w:type="dxa"/>
          </w:tcPr>
          <w:p w:rsidR="00E14B20" w:rsidRPr="00B94C87" w:rsidRDefault="00E14B20" w:rsidP="00633DBC">
            <w:pPr>
              <w:spacing w:after="120"/>
              <w:jc w:val="center"/>
              <w:rPr>
                <w:b/>
                <w:bCs/>
              </w:rPr>
            </w:pPr>
            <w:r w:rsidRPr="00B94C87">
              <w:rPr>
                <w:b/>
                <w:bCs/>
              </w:rPr>
              <w:t>«Национальный исследовательский ядерный университет «МИФИ»</w:t>
            </w:r>
          </w:p>
        </w:tc>
      </w:tr>
    </w:tbl>
    <w:p w:rsidR="00880895" w:rsidRDefault="00880895" w:rsidP="00880895">
      <w:pPr>
        <w:jc w:val="center"/>
      </w:pPr>
      <w:r>
        <w:t>ИНСТИТУТ МАГИСТРАТУРЫ</w:t>
      </w:r>
    </w:p>
    <w:p w:rsidR="00880895" w:rsidRDefault="00880895" w:rsidP="00880895">
      <w:pPr>
        <w:jc w:val="center"/>
      </w:pPr>
      <w:r>
        <w:t>КАФЕДРА ЛАЗЕРНЫХ МИКР</w:t>
      </w:r>
      <w:proofErr w:type="gramStart"/>
      <w:r>
        <w:t>О-</w:t>
      </w:r>
      <w:proofErr w:type="gramEnd"/>
      <w:r>
        <w:t xml:space="preserve"> И НАНОТЕХНОЛОГИЙ</w:t>
      </w: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ind w:left="142" w:right="4819"/>
        <w:jc w:val="center"/>
        <w:rPr>
          <w:bCs/>
        </w:rPr>
      </w:pP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ind w:left="142" w:right="4819"/>
        <w:jc w:val="center"/>
        <w:rPr>
          <w:bCs/>
        </w:rPr>
      </w:pPr>
    </w:p>
    <w:tbl>
      <w:tblPr>
        <w:tblW w:w="0" w:type="auto"/>
        <w:tblLook w:val="01E0"/>
      </w:tblPr>
      <w:tblGrid>
        <w:gridCol w:w="3369"/>
        <w:gridCol w:w="5953"/>
      </w:tblGrid>
      <w:tr w:rsidR="00E14B20" w:rsidRPr="00B94C87" w:rsidTr="00880895">
        <w:tc>
          <w:tcPr>
            <w:tcW w:w="3369" w:type="dxa"/>
          </w:tcPr>
          <w:p w:rsidR="00E14B20" w:rsidRPr="00B94C87" w:rsidRDefault="00E14B20" w:rsidP="00633DBC">
            <w:pPr>
              <w:suppressAutoHyphens/>
              <w:spacing w:after="120"/>
              <w:rPr>
                <w:b/>
                <w:bCs/>
              </w:rPr>
            </w:pPr>
          </w:p>
        </w:tc>
        <w:tc>
          <w:tcPr>
            <w:tcW w:w="5953" w:type="dxa"/>
          </w:tcPr>
          <w:p w:rsidR="00E05F7F" w:rsidRDefault="00E05F7F" w:rsidP="00880895">
            <w:pPr>
              <w:jc w:val="right"/>
            </w:pPr>
            <w:r>
              <w:t>Утверждаю</w:t>
            </w:r>
            <w:r>
              <w:br/>
            </w:r>
            <w:r>
              <w:br/>
              <w:t xml:space="preserve">Декан Института магистратуры  </w:t>
            </w:r>
          </w:p>
          <w:p w:rsidR="00E05F7F" w:rsidRDefault="00E05F7F" w:rsidP="00880895">
            <w:pPr>
              <w:jc w:val="right"/>
            </w:pPr>
          </w:p>
          <w:p w:rsidR="00880895" w:rsidRDefault="00E05F7F" w:rsidP="00880895">
            <w:pPr>
              <w:jc w:val="right"/>
            </w:pPr>
            <w:r>
              <w:t xml:space="preserve">__________ И. Н. </w:t>
            </w:r>
            <w:proofErr w:type="spellStart"/>
            <w:r>
              <w:t>Завестовская</w:t>
            </w:r>
            <w:proofErr w:type="spellEnd"/>
          </w:p>
          <w:p w:rsidR="00E14B20" w:rsidRPr="00B94C87" w:rsidRDefault="00E14B20" w:rsidP="00E05F7F">
            <w:pPr>
              <w:jc w:val="right"/>
              <w:rPr>
                <w:b/>
                <w:bCs/>
              </w:rPr>
            </w:pPr>
          </w:p>
        </w:tc>
      </w:tr>
    </w:tbl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E14B20" w:rsidRPr="00FE7926" w:rsidRDefault="00E14B20" w:rsidP="00E14B20">
      <w:pPr>
        <w:pStyle w:val="a6"/>
        <w:suppressAutoHyphens/>
        <w:spacing w:line="236" w:lineRule="auto"/>
        <w:rPr>
          <w:rFonts w:ascii="Times New Roman" w:hAnsi="Times New Roman"/>
          <w:szCs w:val="24"/>
        </w:rPr>
      </w:pPr>
    </w:p>
    <w:p w:rsidR="00E14B20" w:rsidRPr="00FE7926" w:rsidRDefault="00E14B20" w:rsidP="00E14B20">
      <w:pPr>
        <w:pStyle w:val="a6"/>
        <w:suppressAutoHyphens/>
        <w:spacing w:line="236" w:lineRule="auto"/>
        <w:jc w:val="center"/>
        <w:rPr>
          <w:rFonts w:ascii="Times New Roman" w:hAnsi="Times New Roman"/>
          <w:szCs w:val="24"/>
          <w:vertAlign w:val="superscript"/>
        </w:rPr>
      </w:pPr>
      <w:r w:rsidRPr="00FE7926">
        <w:rPr>
          <w:rFonts w:ascii="Times New Roman" w:hAnsi="Times New Roman"/>
          <w:szCs w:val="24"/>
        </w:rPr>
        <w:t>ПРОГРАММА</w:t>
      </w:r>
      <w:r w:rsidR="00880895">
        <w:rPr>
          <w:rFonts w:ascii="Times New Roman" w:hAnsi="Times New Roman"/>
          <w:szCs w:val="24"/>
        </w:rPr>
        <w:t xml:space="preserve"> ПРЕДДИПЛОМНОЙ</w:t>
      </w:r>
      <w:r w:rsidRPr="00FE7926">
        <w:rPr>
          <w:rFonts w:ascii="Times New Roman" w:hAnsi="Times New Roman"/>
          <w:szCs w:val="24"/>
        </w:rPr>
        <w:t xml:space="preserve"> ПРАКТИКИ</w:t>
      </w:r>
      <w:r w:rsidRPr="00FE7926">
        <w:rPr>
          <w:rFonts w:ascii="Times New Roman" w:hAnsi="Times New Roman"/>
          <w:szCs w:val="24"/>
        </w:rPr>
        <w:br/>
      </w: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D7731A" w:rsidRDefault="00E14B20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</w:rPr>
      </w:pPr>
      <w:r w:rsidRPr="00FE7926">
        <w:rPr>
          <w:bCs/>
        </w:rPr>
        <w:t>Направление подготовки</w:t>
      </w:r>
      <w:r w:rsidR="00D7731A">
        <w:rPr>
          <w:bCs/>
        </w:rPr>
        <w:t xml:space="preserve">    </w:t>
      </w:r>
      <w:r w:rsidR="00D7731A">
        <w:rPr>
          <w:bCs/>
        </w:rPr>
        <w:tab/>
      </w:r>
      <w:r w:rsidR="00D7731A" w:rsidRPr="00010244">
        <w:t>14.04.02 Ядерные физика и технологии</w:t>
      </w:r>
      <w:r w:rsidR="00D7731A" w:rsidRPr="00FE7926">
        <w:rPr>
          <w:bCs/>
        </w:rPr>
        <w:t xml:space="preserve"> </w:t>
      </w:r>
    </w:p>
    <w:p w:rsidR="00D7731A" w:rsidRDefault="00D7731A" w:rsidP="00D7731A">
      <w:pPr>
        <w:tabs>
          <w:tab w:val="right" w:leader="underscore" w:pos="8505"/>
        </w:tabs>
        <w:suppressAutoHyphens/>
        <w:spacing w:line="236" w:lineRule="auto"/>
        <w:ind w:firstLine="567"/>
        <w:rPr>
          <w:bCs/>
        </w:rPr>
      </w:pPr>
    </w:p>
    <w:p w:rsidR="00E14B20" w:rsidRDefault="00E14B20" w:rsidP="00D7731A">
      <w:pPr>
        <w:tabs>
          <w:tab w:val="right" w:leader="underscore" w:pos="8505"/>
        </w:tabs>
        <w:suppressAutoHyphens/>
        <w:spacing w:line="236" w:lineRule="auto"/>
        <w:ind w:firstLine="567"/>
        <w:rPr>
          <w:bCs/>
        </w:rPr>
      </w:pPr>
      <w:r w:rsidRPr="00FE7926">
        <w:rPr>
          <w:bCs/>
        </w:rPr>
        <w:t>Профиль подготовки</w:t>
      </w:r>
    </w:p>
    <w:p w:rsidR="00D7731A" w:rsidRDefault="00D7731A" w:rsidP="00D7731A">
      <w:pPr>
        <w:tabs>
          <w:tab w:val="right" w:leader="underscore" w:pos="8505"/>
        </w:tabs>
        <w:suppressAutoHyphens/>
        <w:spacing w:line="236" w:lineRule="auto"/>
        <w:ind w:firstLine="567"/>
        <w:rPr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5"/>
        <w:gridCol w:w="5396"/>
      </w:tblGrid>
      <w:tr w:rsidR="00D7731A" w:rsidRPr="00010244" w:rsidTr="004A2E1C">
        <w:trPr>
          <w:trHeight w:val="658"/>
        </w:trPr>
        <w:tc>
          <w:tcPr>
            <w:tcW w:w="4005" w:type="dxa"/>
          </w:tcPr>
          <w:p w:rsidR="00D7731A" w:rsidRPr="00010244" w:rsidRDefault="00D7731A" w:rsidP="00D7731A">
            <w:pPr>
              <w:ind w:left="567"/>
            </w:pPr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396" w:type="dxa"/>
          </w:tcPr>
          <w:p w:rsidR="00D7731A" w:rsidRPr="00010244" w:rsidRDefault="00D7731A" w:rsidP="004A2E1C">
            <w:pPr>
              <w:ind w:left="1098"/>
            </w:pPr>
            <w:r w:rsidRPr="00010244">
              <w:t xml:space="preserve">Биомедицинская </w:t>
            </w:r>
            <w:proofErr w:type="spellStart"/>
            <w:r w:rsidRPr="00010244">
              <w:t>фотоника</w:t>
            </w:r>
            <w:proofErr w:type="spellEnd"/>
          </w:p>
        </w:tc>
      </w:tr>
    </w:tbl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E14B20" w:rsidRDefault="00E14B20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</w:rPr>
      </w:pPr>
      <w:r w:rsidRPr="00FE7926">
        <w:rPr>
          <w:bCs/>
        </w:rPr>
        <w:t>Квалификация (степень)  выпускника</w:t>
      </w:r>
      <w:r w:rsidR="004A2E1C">
        <w:rPr>
          <w:bCs/>
        </w:rPr>
        <w:tab/>
        <w:t>Магистр</w:t>
      </w:r>
    </w:p>
    <w:p w:rsidR="004A2E1C" w:rsidRDefault="004A2E1C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</w:rPr>
      </w:pPr>
    </w:p>
    <w:p w:rsidR="004A2E1C" w:rsidRPr="00FE7926" w:rsidRDefault="004A2E1C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  <w:vertAlign w:val="superscript"/>
        </w:rPr>
      </w:pPr>
      <w:r>
        <w:rPr>
          <w:bCs/>
        </w:rPr>
        <w:t>Форма обучения</w:t>
      </w:r>
      <w:r>
        <w:rPr>
          <w:bCs/>
        </w:rPr>
        <w:tab/>
        <w:t>очная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</w:pP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</w:pPr>
    </w:p>
    <w:p w:rsidR="00E14B20" w:rsidRDefault="00E14B20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Pr="00FE7926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pStyle w:val="a6"/>
        <w:tabs>
          <w:tab w:val="left" w:pos="708"/>
        </w:tabs>
        <w:suppressAutoHyphens/>
        <w:spacing w:line="23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Москва, 2014 г.</w:t>
      </w:r>
    </w:p>
    <w:p w:rsidR="00E14B20" w:rsidRPr="00FE7926" w:rsidRDefault="009767BF" w:rsidP="00D20F74">
      <w:pPr>
        <w:spacing w:before="0" w:line="312" w:lineRule="auto"/>
        <w:jc w:val="both"/>
        <w:rPr>
          <w:bCs/>
        </w:rPr>
      </w:pPr>
      <w:r>
        <w:br w:type="page"/>
      </w:r>
      <w:r w:rsidR="0067601E">
        <w:rPr>
          <w:bCs/>
        </w:rPr>
        <w:lastRenderedPageBreak/>
        <w:t xml:space="preserve">ЦЕЛИ </w:t>
      </w:r>
      <w:r w:rsidR="00BC21F8">
        <w:rPr>
          <w:bCs/>
        </w:rPr>
        <w:t>ПРЕДДИПЛОМНОЙ</w:t>
      </w:r>
      <w:r w:rsidR="00E14B20" w:rsidRPr="00FE7926">
        <w:rPr>
          <w:bCs/>
        </w:rPr>
        <w:t xml:space="preserve"> ПРАКТИКИ </w:t>
      </w:r>
    </w:p>
    <w:p w:rsidR="00E14B20" w:rsidRPr="00FE7926" w:rsidRDefault="00E14B20" w:rsidP="00BC21F8">
      <w:pPr>
        <w:tabs>
          <w:tab w:val="left" w:pos="708"/>
          <w:tab w:val="right" w:leader="underscore" w:pos="8505"/>
        </w:tabs>
        <w:suppressAutoHyphens/>
        <w:spacing w:before="120" w:line="312" w:lineRule="auto"/>
        <w:ind w:firstLine="567"/>
        <w:jc w:val="both"/>
      </w:pPr>
      <w:r w:rsidRPr="00FE7926">
        <w:t xml:space="preserve">Целями </w:t>
      </w:r>
      <w:r w:rsidR="00BC21F8">
        <w:t>преддипломной</w:t>
      </w:r>
      <w:r w:rsidRPr="00FE7926">
        <w:t xml:space="preserve"> практики </w:t>
      </w:r>
      <w:r w:rsidR="00BC21F8">
        <w:t>«</w:t>
      </w:r>
      <w:r w:rsidR="00BC21F8" w:rsidRPr="00010244">
        <w:t xml:space="preserve">Биомедицинская </w:t>
      </w:r>
      <w:proofErr w:type="spellStart"/>
      <w:r w:rsidR="00BC21F8" w:rsidRPr="00010244">
        <w:t>фотоника</w:t>
      </w:r>
      <w:proofErr w:type="spellEnd"/>
      <w:r w:rsidR="00BC21F8">
        <w:t xml:space="preserve">» </w:t>
      </w:r>
      <w:r w:rsidRPr="00FE7926">
        <w:t>являются</w:t>
      </w:r>
      <w:r w:rsidR="00BC21F8">
        <w:t>:</w:t>
      </w:r>
      <w:r w:rsidRPr="00FE7926">
        <w:t xml:space="preserve"> </w:t>
      </w:r>
      <w:r w:rsidR="00BC21F8">
        <w:t>подготовка к самостоятельной практической научно-исследовательской работе, применительно к материально-технической и преддипломной базе научной организации.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ЗАДАЧИ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E14B20" w:rsidRPr="00FE7926" w:rsidRDefault="00E14B20" w:rsidP="00BC21F8">
      <w:pPr>
        <w:tabs>
          <w:tab w:val="left" w:pos="708"/>
          <w:tab w:val="right" w:leader="underscore" w:pos="8505"/>
        </w:tabs>
        <w:suppressAutoHyphens/>
        <w:spacing w:before="40" w:line="236" w:lineRule="auto"/>
        <w:ind w:firstLine="567"/>
        <w:jc w:val="both"/>
      </w:pPr>
      <w:proofErr w:type="gramStart"/>
      <w:r w:rsidRPr="00FE7926">
        <w:t xml:space="preserve">Задачами </w:t>
      </w:r>
      <w:r w:rsidR="00BC21F8">
        <w:t>преддипломной</w:t>
      </w:r>
      <w:r w:rsidRPr="00FE7926">
        <w:t xml:space="preserve"> практики </w:t>
      </w:r>
      <w:r w:rsidR="00BC21F8">
        <w:t>«</w:t>
      </w:r>
      <w:r w:rsidR="00BC21F8" w:rsidRPr="00010244">
        <w:t xml:space="preserve">Биомедицинская </w:t>
      </w:r>
      <w:proofErr w:type="spellStart"/>
      <w:r w:rsidR="00BC21F8" w:rsidRPr="00010244">
        <w:t>фотоника</w:t>
      </w:r>
      <w:proofErr w:type="spellEnd"/>
      <w:r w:rsidR="008C36D6">
        <w:t>»</w:t>
      </w:r>
      <w:r w:rsidR="008C36D6" w:rsidRPr="008C36D6">
        <w:t xml:space="preserve"> </w:t>
      </w:r>
      <w:r w:rsidRPr="00FE7926">
        <w:t>являютс</w:t>
      </w:r>
      <w:r w:rsidR="008C36D6" w:rsidRPr="008C36D6">
        <w:t>я</w:t>
      </w:r>
      <w:r w:rsidR="00BC21F8">
        <w:t xml:space="preserve"> приобретение и развитие практических навыков проведения научной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</w:t>
      </w:r>
      <w:proofErr w:type="spellStart"/>
      <w:r w:rsidR="00BC21F8">
        <w:t>наноплазмоники</w:t>
      </w:r>
      <w:proofErr w:type="spellEnd"/>
      <w:r w:rsidR="00107BF5">
        <w:t>.</w:t>
      </w:r>
      <w:proofErr w:type="gramEnd"/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before="40" w:line="236" w:lineRule="auto"/>
        <w:ind w:firstLine="567"/>
        <w:jc w:val="both"/>
      </w:pPr>
    </w:p>
    <w:p w:rsidR="00E14B20" w:rsidRPr="00FE7926" w:rsidRDefault="00E14B20" w:rsidP="00E14B20">
      <w:pPr>
        <w:pStyle w:val="a4"/>
        <w:tabs>
          <w:tab w:val="clear" w:pos="4677"/>
          <w:tab w:val="clear" w:pos="9355"/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МЕСТО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В СТРУКТУРЕ ООП ВПО</w:t>
      </w:r>
    </w:p>
    <w:p w:rsidR="00E14B20" w:rsidRPr="00FE7926" w:rsidRDefault="00107BF5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  <w:r>
        <w:t xml:space="preserve">Данная практика логически и </w:t>
      </w:r>
      <w:proofErr w:type="spellStart"/>
      <w:proofErr w:type="gramStart"/>
      <w:r>
        <w:t>содержательно-методически</w:t>
      </w:r>
      <w:proofErr w:type="spellEnd"/>
      <w:proofErr w:type="gramEnd"/>
      <w:r>
        <w:t xml:space="preserve"> связана со всеми предшествующими дисциплинами такими как: общая физика, теория поля, квантовая механика, физическая оптика, теория колебаний, атомная и молекулярная </w:t>
      </w:r>
      <w:proofErr w:type="spellStart"/>
      <w:r>
        <w:t>спекроскопия</w:t>
      </w:r>
      <w:proofErr w:type="spellEnd"/>
      <w:r>
        <w:t xml:space="preserve">, физика конденсированных сред, уравнения математической физики, теория вероятностей, медицинская </w:t>
      </w:r>
      <w:proofErr w:type="spellStart"/>
      <w:r>
        <w:t>нанофотоника</w:t>
      </w:r>
      <w:proofErr w:type="spellEnd"/>
      <w:r>
        <w:t xml:space="preserve">. Важно отметить междисциплинарный характер данной практики, которая затрагивает такие области знания как биология, физиология, коллоидная химия и </w:t>
      </w:r>
      <w:proofErr w:type="spellStart"/>
      <w:r>
        <w:t>нанотехнологии</w:t>
      </w:r>
      <w:proofErr w:type="spellEnd"/>
      <w:r>
        <w:t>. Логически и последовательно вытекает из предшествующей работы студента в рамках научно-исследовательской работы и время обучения в магистратуре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ФОРМЫ ПРОВЕДЕНИЯ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E14B20" w:rsidRDefault="00E14B20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</w:p>
    <w:p w:rsidR="0067601E" w:rsidRPr="00FE7926" w:rsidRDefault="0067601E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  <w:r>
        <w:t>Лабораторная.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  <w:spacing w:val="-2"/>
        </w:rPr>
      </w:pPr>
      <w:r w:rsidRPr="00FE7926">
        <w:rPr>
          <w:bCs/>
          <w:spacing w:val="-2"/>
        </w:rPr>
        <w:t xml:space="preserve">МЕСТО И ВРЕМЯ ПРОВЕДЕНИЯ </w:t>
      </w:r>
      <w:r w:rsidR="00BC21F8">
        <w:rPr>
          <w:bCs/>
          <w:spacing w:val="-2"/>
        </w:rPr>
        <w:t>ПРЕДДИПЛОМНОЙ</w:t>
      </w:r>
      <w:r w:rsidRPr="00FE7926">
        <w:rPr>
          <w:bCs/>
          <w:spacing w:val="-2"/>
        </w:rPr>
        <w:t xml:space="preserve"> ПРАКТИКИ</w:t>
      </w:r>
    </w:p>
    <w:p w:rsidR="00E14B20" w:rsidRPr="00FE7926" w:rsidRDefault="00107BF5" w:rsidP="00107BF5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  <w:r>
        <w:t xml:space="preserve">Практика проводится по адресу г. Москва, ул. Вавилова, д. 38, в </w:t>
      </w:r>
      <w:proofErr w:type="gramStart"/>
      <w:r>
        <w:t>Федеральном</w:t>
      </w:r>
      <w:proofErr w:type="gramEnd"/>
      <w:r>
        <w:t xml:space="preserve"> Государственном бюджетное учреждение науки Институт общей физики им. А.М. Прохорова Российской академии наук</w:t>
      </w:r>
      <w:r w:rsidR="00A85833">
        <w:t>.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КОМПЕТЕНЦИИ СТУДЕНТА, ФОРМИРУЕМЫЕ В РЕЗУЛЬТАТЕ ПРОХОЖДЕНИЯ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A85833" w:rsidRDefault="00E14B20" w:rsidP="00A85833">
      <w:pPr>
        <w:pStyle w:val="af"/>
      </w:pPr>
      <w:r w:rsidRPr="00FE7926">
        <w:t xml:space="preserve">В результате прохождения данной </w:t>
      </w:r>
      <w:r w:rsidR="00BC21F8">
        <w:t>преддипломной</w:t>
      </w:r>
      <w:r w:rsidRPr="00FE7926">
        <w:t xml:space="preserve"> практики студент должен приобрести следующие практические навыки, умения, универсальные и профессиональные компетенции: </w:t>
      </w:r>
      <w:r w:rsidR="00A85833">
        <w:t>ОК-2, ОПК-1, ОПК-2, ОСПК-1, ПК-1, ПК-3, ПК-6, ПК-8, ПК-12, ПК-15, ПК-23, ПСК-1, ПСК-2, ПСК-11, ПСК-12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По результатам научно-исследовательской работы студент должен: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Знать:</w:t>
      </w:r>
    </w:p>
    <w:p w:rsidR="00A85833" w:rsidRDefault="00A85833" w:rsidP="00A85833">
      <w:pPr>
        <w:pStyle w:val="af"/>
      </w:pPr>
      <w:r>
        <w:t>З</w:t>
      </w:r>
      <w:proofErr w:type="gramStart"/>
      <w:r>
        <w:t>1</w:t>
      </w:r>
      <w:proofErr w:type="gramEnd"/>
      <w:r>
        <w:t>. Знать основополагающие мировые работы по тематике</w:t>
      </w:r>
    </w:p>
    <w:p w:rsidR="00A85833" w:rsidRDefault="00A85833" w:rsidP="00A85833">
      <w:pPr>
        <w:pStyle w:val="af"/>
      </w:pPr>
      <w:r>
        <w:lastRenderedPageBreak/>
        <w:t>З</w:t>
      </w:r>
      <w:proofErr w:type="gramStart"/>
      <w:r>
        <w:t>2</w:t>
      </w:r>
      <w:proofErr w:type="gramEnd"/>
      <w:r>
        <w:t>. Знать текущее состояние положений научно-исследовательской работы по данной теме в мире</w:t>
      </w:r>
    </w:p>
    <w:p w:rsidR="00A85833" w:rsidRDefault="00A85833" w:rsidP="00A85833">
      <w:pPr>
        <w:pStyle w:val="af"/>
      </w:pPr>
      <w:r>
        <w:t>З3. Знать основополагающие работы по тематике в лаборатории</w:t>
      </w:r>
    </w:p>
    <w:p w:rsidR="00A85833" w:rsidRDefault="00A85833" w:rsidP="00A85833">
      <w:pPr>
        <w:pStyle w:val="af"/>
      </w:pPr>
      <w:r>
        <w:t>З</w:t>
      </w:r>
      <w:proofErr w:type="gramStart"/>
      <w:r>
        <w:t>4</w:t>
      </w:r>
      <w:proofErr w:type="gramEnd"/>
      <w:r>
        <w:t>. Знать текущее состояние положений научно-исследовательской работы по данной теме в лаборатории</w:t>
      </w:r>
    </w:p>
    <w:p w:rsidR="00A85833" w:rsidRDefault="00A85833" w:rsidP="00A85833">
      <w:pPr>
        <w:pStyle w:val="af"/>
      </w:pPr>
      <w:r>
        <w:t>З5. Знать положения техники безопасности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Уметь:</w:t>
      </w:r>
    </w:p>
    <w:p w:rsidR="00A85833" w:rsidRDefault="00A85833" w:rsidP="00A85833">
      <w:pPr>
        <w:pStyle w:val="af"/>
      </w:pPr>
      <w:r>
        <w:t>У</w:t>
      </w:r>
      <w:proofErr w:type="gramStart"/>
      <w:r>
        <w:t>1</w:t>
      </w:r>
      <w:proofErr w:type="gramEnd"/>
      <w:r>
        <w:t>. Разрабатывать блок-схемы будущей установки, создавать рабочие эскизы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 изготовления, производить тестовые запуски установки</w:t>
      </w:r>
    </w:p>
    <w:p w:rsidR="00A85833" w:rsidRDefault="00A85833" w:rsidP="00A85833">
      <w:pPr>
        <w:pStyle w:val="af"/>
      </w:pPr>
      <w:r>
        <w:t>У</w:t>
      </w:r>
      <w:proofErr w:type="gramStart"/>
      <w:r>
        <w:t>2</w:t>
      </w:r>
      <w:proofErr w:type="gramEnd"/>
      <w:r>
        <w:t xml:space="preserve">. Проводить эталонные эксперименты для обеспечения </w:t>
      </w:r>
      <w:proofErr w:type="spellStart"/>
      <w:r>
        <w:t>воспроиводимости</w:t>
      </w:r>
      <w:proofErr w:type="spellEnd"/>
      <w:r>
        <w:t xml:space="preserve"> результатов при работе установки</w:t>
      </w:r>
    </w:p>
    <w:p w:rsidR="00A85833" w:rsidRDefault="00A85833" w:rsidP="00A85833">
      <w:pPr>
        <w:pStyle w:val="af"/>
      </w:pPr>
      <w:r>
        <w:t>У3. Проводить серии экспериментов, заполнять и вести лабораторный журнал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Владеть:</w:t>
      </w:r>
    </w:p>
    <w:p w:rsidR="00A85833" w:rsidRDefault="00A85833" w:rsidP="00A85833">
      <w:pPr>
        <w:pStyle w:val="af"/>
      </w:pPr>
      <w:r>
        <w:t>В</w:t>
      </w:r>
      <w:proofErr w:type="gramStart"/>
      <w:r>
        <w:t>1</w:t>
      </w:r>
      <w:proofErr w:type="gramEnd"/>
      <w:r>
        <w:t>. Владение навыками создавать блок-схемы будущей установки, создавать рабочие эскизы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 изготовления, производить тестовые запуски установки</w:t>
      </w:r>
    </w:p>
    <w:p w:rsidR="00A85833" w:rsidRDefault="00A85833" w:rsidP="00A85833">
      <w:pPr>
        <w:pStyle w:val="af"/>
      </w:pPr>
      <w:r>
        <w:t>В</w:t>
      </w:r>
      <w:proofErr w:type="gramStart"/>
      <w:r>
        <w:t>2</w:t>
      </w:r>
      <w:proofErr w:type="gramEnd"/>
      <w:r>
        <w:t xml:space="preserve">. Владение навыками проводить эталонные эксперименты для обеспечения </w:t>
      </w:r>
      <w:proofErr w:type="spellStart"/>
      <w:r>
        <w:t>воспроиводимости</w:t>
      </w:r>
      <w:proofErr w:type="spellEnd"/>
      <w:r>
        <w:t xml:space="preserve"> результатов при работе установки</w:t>
      </w:r>
    </w:p>
    <w:p w:rsidR="00A85833" w:rsidRDefault="00A85833" w:rsidP="00A85833">
      <w:pPr>
        <w:pStyle w:val="af"/>
      </w:pPr>
      <w:r>
        <w:t>В3. Владение навыками проводить серии экспериментов, заполнять и вести лабораторный журнал</w:t>
      </w:r>
    </w:p>
    <w:p w:rsidR="00E14B20" w:rsidRPr="00FE7926" w:rsidRDefault="00E14B20" w:rsidP="00A85833">
      <w:pPr>
        <w:tabs>
          <w:tab w:val="right" w:leader="underscore" w:pos="8505"/>
        </w:tabs>
        <w:suppressAutoHyphens/>
        <w:spacing w:before="120" w:line="312" w:lineRule="auto"/>
        <w:ind w:firstLine="567"/>
        <w:jc w:val="both"/>
      </w:pPr>
    </w:p>
    <w:p w:rsidR="00E14B20" w:rsidRDefault="00E14B20" w:rsidP="00E14B20">
      <w:pPr>
        <w:pStyle w:val="a4"/>
        <w:tabs>
          <w:tab w:val="clear" w:pos="4677"/>
          <w:tab w:val="clear" w:pos="9355"/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pStyle w:val="a4"/>
        <w:tabs>
          <w:tab w:val="clear" w:pos="4677"/>
          <w:tab w:val="clear" w:pos="9355"/>
          <w:tab w:val="left" w:pos="708"/>
        </w:tabs>
        <w:suppressAutoHyphens/>
        <w:spacing w:line="236" w:lineRule="auto"/>
        <w:jc w:val="both"/>
      </w:pPr>
    </w:p>
    <w:p w:rsidR="00E14B20" w:rsidRPr="008C36D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left" w:pos="993"/>
          <w:tab w:val="right" w:leader="underscore" w:pos="8505"/>
        </w:tabs>
        <w:suppressAutoHyphens/>
        <w:spacing w:before="120" w:line="312" w:lineRule="auto"/>
        <w:ind w:left="0" w:firstLine="0"/>
        <w:jc w:val="both"/>
      </w:pPr>
      <w:r w:rsidRPr="008C36D6">
        <w:rPr>
          <w:bCs/>
        </w:rPr>
        <w:t xml:space="preserve">СТРУКТУРА И СОДЕРЖАНИЕ </w:t>
      </w:r>
      <w:r w:rsidR="00BC21F8" w:rsidRPr="008C36D6">
        <w:rPr>
          <w:bCs/>
        </w:rPr>
        <w:t>ПРЕДДИПЛОМНОЙ</w:t>
      </w:r>
      <w:r w:rsidRPr="008C36D6">
        <w:rPr>
          <w:bCs/>
        </w:rPr>
        <w:t xml:space="preserve"> ПРАКТИКИ</w:t>
      </w:r>
    </w:p>
    <w:p w:rsidR="00E14B20" w:rsidRDefault="00E14B20" w:rsidP="00E14B20">
      <w:pPr>
        <w:pStyle w:val="3"/>
        <w:tabs>
          <w:tab w:val="left" w:pos="993"/>
          <w:tab w:val="right" w:leader="underscore" w:pos="8505"/>
        </w:tabs>
        <w:suppressAutoHyphens/>
        <w:spacing w:line="312" w:lineRule="auto"/>
        <w:rPr>
          <w:sz w:val="24"/>
          <w:szCs w:val="24"/>
        </w:rPr>
      </w:pPr>
      <w:r w:rsidRPr="00FE7926">
        <w:rPr>
          <w:sz w:val="24"/>
          <w:szCs w:val="24"/>
        </w:rPr>
        <w:t xml:space="preserve">Общая трудоемкость </w:t>
      </w:r>
      <w:r w:rsidR="00BC21F8">
        <w:rPr>
          <w:sz w:val="24"/>
          <w:szCs w:val="24"/>
        </w:rPr>
        <w:t>преддипломной</w:t>
      </w:r>
      <w:r w:rsidRPr="00FE7926">
        <w:rPr>
          <w:sz w:val="24"/>
          <w:szCs w:val="24"/>
        </w:rPr>
        <w:t xml:space="preserve"> практики составляет </w:t>
      </w:r>
      <w:r w:rsidR="0067601E" w:rsidRPr="0067601E">
        <w:rPr>
          <w:sz w:val="24"/>
          <w:szCs w:val="24"/>
        </w:rPr>
        <w:t>432</w:t>
      </w:r>
      <w:r w:rsidRPr="00FE7926">
        <w:rPr>
          <w:sz w:val="24"/>
          <w:szCs w:val="24"/>
        </w:rPr>
        <w:t xml:space="preserve"> час</w:t>
      </w:r>
      <w:r w:rsidR="008C36D6">
        <w:rPr>
          <w:sz w:val="24"/>
          <w:szCs w:val="24"/>
        </w:rPr>
        <w:t>а</w:t>
      </w:r>
      <w:r w:rsidRPr="00FE7926">
        <w:rPr>
          <w:sz w:val="24"/>
          <w:szCs w:val="24"/>
        </w:rPr>
        <w:t>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ind w:hanging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85"/>
        <w:gridCol w:w="2412"/>
        <w:gridCol w:w="722"/>
        <w:gridCol w:w="1121"/>
        <w:gridCol w:w="737"/>
        <w:gridCol w:w="730"/>
        <w:gridCol w:w="1174"/>
      </w:tblGrid>
      <w:tr w:rsidR="000B1215" w:rsidRPr="00FE7926" w:rsidTr="001139EB">
        <w:trPr>
          <w:trHeight w:val="1224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№</w:t>
            </w:r>
          </w:p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proofErr w:type="spellStart"/>
            <w:proofErr w:type="gramStart"/>
            <w:r w:rsidRPr="00FE7926">
              <w:rPr>
                <w:bCs/>
              </w:rPr>
              <w:t>п</w:t>
            </w:r>
            <w:proofErr w:type="spellEnd"/>
            <w:proofErr w:type="gramEnd"/>
            <w:r w:rsidRPr="00FE7926">
              <w:rPr>
                <w:bCs/>
              </w:rPr>
              <w:t>/</w:t>
            </w:r>
            <w:proofErr w:type="spellStart"/>
            <w:r w:rsidRPr="00FE7926">
              <w:rPr>
                <w:bCs/>
              </w:rPr>
              <w:t>п</w:t>
            </w:r>
            <w:proofErr w:type="spellEnd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Разделы (этапы) практики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 xml:space="preserve">Виды </w:t>
            </w:r>
            <w:r>
              <w:rPr>
                <w:bCs/>
              </w:rPr>
              <w:t>преддипломной</w:t>
            </w:r>
            <w:r w:rsidRPr="00FE7926">
              <w:rPr>
                <w:bCs/>
              </w:rPr>
              <w:t xml:space="preserve"> работы на практике, включая самостоятельную работу</w:t>
            </w:r>
            <w:r w:rsidRPr="00FE7926">
              <w:rPr>
                <w:bCs/>
              </w:rPr>
              <w:br/>
              <w:t>студентов и трудоемкость</w:t>
            </w:r>
          </w:p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(в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Формы</w:t>
            </w:r>
            <w:r w:rsidRPr="00FE7926">
              <w:rPr>
                <w:bCs/>
              </w:rPr>
              <w:br/>
            </w:r>
            <w:proofErr w:type="gramStart"/>
            <w:r w:rsidRPr="00FE7926">
              <w:rPr>
                <w:bCs/>
              </w:rPr>
              <w:t>текущего</w:t>
            </w:r>
            <w:proofErr w:type="gramEnd"/>
          </w:p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контроля</w:t>
            </w:r>
          </w:p>
        </w:tc>
      </w:tr>
      <w:tr w:rsidR="001139EB" w:rsidRPr="00FE7926" w:rsidTr="001139EB">
        <w:trPr>
          <w:jc w:val="center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A73122" w:rsidRDefault="001139EB" w:rsidP="001139EB">
            <w:r w:rsidRPr="00A73122">
              <w:t>Лек</w:t>
            </w:r>
            <w:proofErr w:type="gramStart"/>
            <w:r w:rsidRPr="00A73122">
              <w:t xml:space="preserve">., </w:t>
            </w:r>
            <w:proofErr w:type="gramEnd"/>
            <w:r w:rsidRPr="00A73122">
              <w:t>час.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A73122" w:rsidRDefault="001139EB" w:rsidP="001139EB">
            <w:r w:rsidRPr="00A73122">
              <w:t>Пр./сем</w:t>
            </w:r>
            <w:proofErr w:type="gramStart"/>
            <w:r w:rsidRPr="00A73122">
              <w:t xml:space="preserve">., </w:t>
            </w:r>
            <w:proofErr w:type="gramEnd"/>
            <w:r w:rsidRPr="00A73122">
              <w:t>час.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Default="001139EB" w:rsidP="001139EB">
            <w:r w:rsidRPr="00A73122">
              <w:t>Лаб., час.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СРС, час.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</w:p>
        </w:tc>
      </w:tr>
      <w:tr w:rsidR="00E14B20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14B20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П</w:t>
            </w:r>
            <w:r w:rsidR="0073606F" w:rsidRPr="00FE7926">
              <w:rPr>
                <w:bCs/>
              </w:rPr>
              <w:t>одготовительный этап, включающий инструктаж по технике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602A9" w:rsidP="000B1215"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602A9" w:rsidP="000B1215"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14B20" w:rsidP="000B121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00" w:rsidRPr="000B1215" w:rsidRDefault="001B4C00" w:rsidP="000B1215"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A71B3B" w:rsidP="00341CD6">
            <w:r>
              <w:t>ОТЧ</w:t>
            </w:r>
            <w:r w:rsidR="00286CB1">
              <w:t>-</w:t>
            </w:r>
            <w:r w:rsidR="001B4C00">
              <w:t>1</w:t>
            </w:r>
            <w:r w:rsidR="00341CD6">
              <w:t>1</w:t>
            </w:r>
          </w:p>
        </w:tc>
      </w:tr>
      <w:tr w:rsidR="00E14B20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14B20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П</w:t>
            </w:r>
            <w:r w:rsidR="0073606F" w:rsidRPr="00FE7926">
              <w:rPr>
                <w:bCs/>
              </w:rPr>
              <w:t>роизводственный (экспериментальный, исследовательский) этап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14B20" w:rsidP="000B12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14B20" w:rsidP="000B1215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341CD6" w:rsidP="000B1215">
            <w: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00" w:rsidRPr="000B1215" w:rsidRDefault="00341CD6" w:rsidP="001B4C00">
            <w: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A71B3B" w:rsidP="00341CD6">
            <w:r>
              <w:t>ОТЧ</w:t>
            </w:r>
            <w:r w:rsidR="00286CB1">
              <w:t>-1</w:t>
            </w:r>
            <w:r w:rsidR="00341CD6">
              <w:t>5</w:t>
            </w:r>
          </w:p>
        </w:tc>
      </w:tr>
      <w:tr w:rsidR="0073606F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bookmarkStart w:id="0" w:name="_GoBack"/>
            <w:r>
              <w:rPr>
                <w:bCs/>
              </w:rPr>
              <w:t>О</w:t>
            </w:r>
            <w:r w:rsidR="0073606F" w:rsidRPr="00FE7926">
              <w:rPr>
                <w:bCs/>
              </w:rPr>
              <w:t xml:space="preserve">бработка и анализ полученной </w:t>
            </w:r>
            <w:r w:rsidR="0073606F" w:rsidRPr="00FE7926">
              <w:rPr>
                <w:bCs/>
              </w:rPr>
              <w:lastRenderedPageBreak/>
              <w:t>информации</w:t>
            </w:r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1139EB" w:rsidP="000B1215">
            <w:r>
              <w:lastRenderedPageBreak/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1139EB">
            <w: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A71B3B" w:rsidP="00341CD6">
            <w:r>
              <w:t>ОТЧ</w:t>
            </w:r>
            <w:r w:rsidR="00286CB1">
              <w:t>-</w:t>
            </w:r>
            <w:r w:rsidR="001B4C00">
              <w:t>1</w:t>
            </w:r>
            <w:r w:rsidR="00341CD6">
              <w:t>7</w:t>
            </w:r>
          </w:p>
        </w:tc>
      </w:tr>
      <w:tr w:rsidR="0073606F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П</w:t>
            </w:r>
            <w:r w:rsidR="0073606F" w:rsidRPr="00FE7926">
              <w:rPr>
                <w:bCs/>
              </w:rPr>
              <w:t>одготовка отчета по практике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73606F" w:rsidP="000B12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73606F" w:rsidP="000B121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286CB1" w:rsidP="00341CD6">
            <w:r>
              <w:t>ОТЧ-</w:t>
            </w:r>
            <w:r w:rsidR="00341CD6">
              <w:t>18</w:t>
            </w:r>
          </w:p>
        </w:tc>
      </w:tr>
    </w:tbl>
    <w:p w:rsidR="00E14B20" w:rsidRPr="00FE7926" w:rsidRDefault="00E14B20" w:rsidP="00E14B20">
      <w:pPr>
        <w:tabs>
          <w:tab w:val="right" w:leader="underscore" w:pos="8505"/>
        </w:tabs>
        <w:suppressAutoHyphens/>
        <w:spacing w:line="228" w:lineRule="auto"/>
        <w:ind w:firstLine="567"/>
        <w:jc w:val="both"/>
        <w:rPr>
          <w:bCs/>
        </w:rPr>
      </w:pPr>
    </w:p>
    <w:p w:rsidR="00E14B20" w:rsidRPr="00FE7926" w:rsidRDefault="00E14B20" w:rsidP="00E14B20">
      <w:pPr>
        <w:suppressAutoHyphens/>
        <w:spacing w:line="228" w:lineRule="auto"/>
        <w:ind w:left="567" w:right="567" w:firstLine="567"/>
        <w:jc w:val="both"/>
      </w:pPr>
      <w:r w:rsidRPr="00FE7926">
        <w:rPr>
          <w:bCs/>
        </w:rPr>
        <w:t>Примечание</w:t>
      </w:r>
      <w:r w:rsidRPr="00FE7926">
        <w:t xml:space="preserve">: к видам </w:t>
      </w:r>
      <w:r w:rsidR="00BC21F8">
        <w:t>преддипломной</w:t>
      </w:r>
      <w:r w:rsidRPr="00FE7926">
        <w:t xml:space="preserve"> работы на </w:t>
      </w:r>
      <w:r w:rsidR="00BC21F8">
        <w:t>преддипломной</w:t>
      </w:r>
      <w:r w:rsidRPr="00FE7926">
        <w:t xml:space="preserve"> практике могут быть отнесены: производственный инструктаж, в т.ч. инструктаж по технике безопасности, выполнение производственных заданий, сбор, обработка и систематизация фактического и литературного материала, наблюдения, измерения и другие выполняемые студентом самостоятельно виды работ (виды работ должны отражать специфику конкретных направлений подготовки).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НАУЧНО-ИССЛЕДОВАТЕЛЬСКИЕ И НАУЧНО-ПРОИЗВОДСТВЕННЫЕ ТЕХНОЛОГИИ, ИСПОЛЬЗУЕМЫЕ НА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ПРАКТИКЕ</w:t>
      </w:r>
    </w:p>
    <w:p w:rsidR="00E14B20" w:rsidRPr="00FE7926" w:rsidRDefault="00A85833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В успешном прохождении данной практики основную роль играют практические действия студента в виде самостоятельной работы, заключающейся в выполнении задач, как поставленных руководителем, так и возникающих непосредственно в процессе деятельности.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УЧЕБНО-МЕТОДИЧЕСКОЕ ОБЕСПЕЧЕНИЕ САМОСТОЯТЕЛЬНОЙ РАБОТЫ СТУДЕНТОВ НА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ПРАКТИКЕ 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Самостоятельная работа студентов является одним из видов учебных занятий.  Самостоятельная работа определяется как индивидуальная или коллективная учебная деятельность, осуществляемая без непосредственного руководства </w:t>
      </w:r>
      <w:r w:rsidR="00E568DC">
        <w:t>преподавателя</w:t>
      </w:r>
      <w:r>
        <w:t>, но по его заданиям и под его контролем.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Самостоятельная работа студентов является одной из основных форм внеаудиторной работы при реализации учебных планов и программ. По </w:t>
      </w:r>
      <w:r w:rsidR="00E568DC">
        <w:t>преддипломной практике</w:t>
      </w:r>
      <w:r>
        <w:t xml:space="preserve"> следующие виды и формы самостоятельной работы студентов: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завершение практических работ и оформление отчётов;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подготовка информационных сообщений, докладов с компьютерной презентацией, рефератов;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решение задач.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  Самостоятельная работа проводится с целью: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систематизации и закрепления полученных теоретических знаний и практических умений студентов;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-углубления и расширения теоретических знаний;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формирования умений использовать справочную и дополнительную литературу;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формирования самостоятельности мышления, способностей к саморазвитию, самосовершенствованию и самореализации;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развития исследовательских умений.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Студент в процессе обучения должен не только освоить учебную программу, но и приобрести навыки самостоятельной работы. Студенту предоставляется возможность работать во время учебы более самостоятельно, чем учащимся в средней школе. Студент должен уметь планировать и выполнять свою работу.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Исходя из объемов максимальной и обязательной учебной нагрузки, на самостоятельную работу по </w:t>
      </w:r>
      <w:r w:rsidR="00E568DC">
        <w:t>преддипломной практике</w:t>
      </w:r>
      <w:r>
        <w:t xml:space="preserve"> отводится </w:t>
      </w:r>
      <w:r w:rsidR="00E568DC">
        <w:t>336</w:t>
      </w:r>
      <w:r>
        <w:t xml:space="preserve"> часов. Самостоятельная внеаудиторная работа выполняется студентам</w:t>
      </w:r>
      <w:r w:rsidR="00E568DC">
        <w:t xml:space="preserve">и по заданию преподавателя, но </w:t>
      </w:r>
      <w:r>
        <w:t>без его непосредственного участия. Руководством для выполнения заданий служат учебные пособия, интернет-ресурсы.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lastRenderedPageBreak/>
        <w:t xml:space="preserve">ФОРМЫ ПРОМЕЖУТОЧНОЙ АТТЕСТАЦИИ (ПО ИТОГАМ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ПРАКТИКИ) </w:t>
      </w:r>
    </w:p>
    <w:p w:rsidR="00E14B20" w:rsidRPr="00FE7926" w:rsidRDefault="00E568DC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Отчет в виде доклада по материалам магистерской диссертации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24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УЧЕБНО-МЕТОДИЧЕСКОЕ И ИНФОРМАЦИОННОЕ ОБЕСПЕЧЕНИЕ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 </w:t>
      </w:r>
      <w:r w:rsidRPr="00FE7926">
        <w:rPr>
          <w:bCs/>
        </w:rPr>
        <w:tab/>
      </w:r>
    </w:p>
    <w:p w:rsidR="00A85833" w:rsidRDefault="00A85833" w:rsidP="00A85833">
      <w:pPr>
        <w:ind w:left="709"/>
      </w:pPr>
      <w:r>
        <w:t>а) ОСНОВНАЯ ЛИТЕРАТУРА:</w:t>
      </w:r>
    </w:p>
    <w:p w:rsidR="00A85833" w:rsidRDefault="00A85833" w:rsidP="00A85833">
      <w:pPr>
        <w:ind w:left="709"/>
      </w:pPr>
      <w:r>
        <w:t>1. 61 О-62 Оптическая биомедицинская диагностика Т.1 , ,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>, 2007</w:t>
      </w:r>
    </w:p>
    <w:p w:rsidR="00A85833" w:rsidRDefault="00A85833" w:rsidP="00A85833">
      <w:pPr>
        <w:ind w:left="709"/>
      </w:pPr>
      <w:r>
        <w:t>2. 61 О-62 Оптическая биомедицинская диагностика Т.2 , ,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>, 2007</w:t>
      </w:r>
    </w:p>
    <w:p w:rsidR="00A85833" w:rsidRDefault="00A85833" w:rsidP="00A85833">
      <w:pPr>
        <w:ind w:left="709"/>
      </w:pPr>
    </w:p>
    <w:p w:rsidR="00A85833" w:rsidRDefault="00A85833" w:rsidP="00A85833">
      <w:pPr>
        <w:ind w:left="709"/>
      </w:pPr>
      <w:r>
        <w:t>б) ДОПОЛНИТЕЛЬНАЯ ЛИТЕРАТУРА:</w:t>
      </w:r>
    </w:p>
    <w:p w:rsidR="00A85833" w:rsidRDefault="00A85833" w:rsidP="00A85833">
      <w:pPr>
        <w:ind w:left="709"/>
      </w:pPr>
      <w:r>
        <w:t>в) ПРОГРАММНОЕ ОБЕСПЕЧЕНИЕ И ИНТЕРНЕТ-РЕСУРСЫ:</w:t>
      </w:r>
    </w:p>
    <w:p w:rsidR="00A85833" w:rsidRDefault="00A85833" w:rsidP="00A85833">
      <w:pPr>
        <w:ind w:left="709"/>
      </w:pPr>
      <w:r>
        <w:t>Специальное программное обеспечение не требуется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МАТЕРИАЛЬНО-ТЕХНИЧЕСКОЕ ОБЕСПЕЧЕНИЕ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A85833" w:rsidRDefault="00A85833" w:rsidP="00A85833">
      <w:pPr>
        <w:ind w:left="709"/>
      </w:pPr>
      <w:r>
        <w:t>Специальное материально-техническое обеспечение не требуется</w:t>
      </w:r>
    </w:p>
    <w:p w:rsidR="00A85833" w:rsidRDefault="00A85833" w:rsidP="00A85833">
      <w:pPr>
        <w:pStyle w:val="af"/>
        <w:ind w:left="709" w:firstLine="0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tabs>
          <w:tab w:val="left" w:pos="1134"/>
          <w:tab w:val="right" w:leader="underscore" w:pos="8505"/>
        </w:tabs>
        <w:suppressAutoHyphens/>
        <w:ind w:firstLine="567"/>
        <w:jc w:val="both"/>
      </w:pPr>
    </w:p>
    <w:p w:rsidR="00091DC1" w:rsidRDefault="00091DC1" w:rsidP="00091DC1">
      <w:pPr>
        <w:pStyle w:val="af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091DC1" w:rsidRPr="00C604AA" w:rsidRDefault="00091DC1" w:rsidP="00091DC1">
      <w:pPr>
        <w:pStyle w:val="af"/>
        <w:ind w:firstLine="0"/>
        <w:rPr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5245"/>
        <w:gridCol w:w="4078"/>
      </w:tblGrid>
      <w:tr w:rsidR="00091DC1" w:rsidTr="00633DBC">
        <w:trPr>
          <w:trHeight w:val="1134"/>
        </w:trPr>
        <w:tc>
          <w:tcPr>
            <w:tcW w:w="250" w:type="dxa"/>
          </w:tcPr>
          <w:p w:rsidR="00091DC1" w:rsidRDefault="00091DC1" w:rsidP="00633DBC">
            <w:pPr>
              <w:pStyle w:val="af"/>
              <w:ind w:firstLine="0"/>
            </w:pPr>
          </w:p>
        </w:tc>
        <w:tc>
          <w:tcPr>
            <w:tcW w:w="5670" w:type="dxa"/>
          </w:tcPr>
          <w:p w:rsidR="00091DC1" w:rsidRDefault="00091DC1" w:rsidP="00091DC1">
            <w:pPr>
              <w:ind w:left="-248" w:firstLine="248"/>
            </w:pPr>
            <w:proofErr w:type="spellStart"/>
            <w:r>
              <w:t>Переверзев</w:t>
            </w:r>
            <w:proofErr w:type="spellEnd"/>
            <w:r>
              <w:t xml:space="preserve"> Валентин Григорьевич </w:t>
            </w:r>
            <w:proofErr w:type="spellStart"/>
            <w:r>
              <w:t>к.ф.-м.н</w:t>
            </w:r>
            <w:proofErr w:type="spellEnd"/>
            <w:r>
              <w:t>. доцент</w:t>
            </w:r>
          </w:p>
        </w:tc>
        <w:tc>
          <w:tcPr>
            <w:tcW w:w="4217" w:type="dxa"/>
          </w:tcPr>
          <w:p w:rsidR="00091DC1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091DC1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091DC1" w:rsidRDefault="00091DC1" w:rsidP="00091DC1">
      <w:pPr>
        <w:pStyle w:val="af"/>
        <w:ind w:firstLine="284"/>
        <w:rPr>
          <w:lang w:val="en-US"/>
        </w:rPr>
      </w:pPr>
      <w:r>
        <w:t>Рецензен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</w:t>
      </w:r>
      <w:r>
        <w:rPr>
          <w:lang w:val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5226"/>
        <w:gridCol w:w="4097"/>
      </w:tblGrid>
      <w:tr w:rsidR="00091DC1" w:rsidTr="00633DBC">
        <w:trPr>
          <w:trHeight w:val="1134"/>
        </w:trPr>
        <w:tc>
          <w:tcPr>
            <w:tcW w:w="250" w:type="dxa"/>
          </w:tcPr>
          <w:p w:rsidR="00091DC1" w:rsidRDefault="00091DC1" w:rsidP="00633DBC">
            <w:pPr>
              <w:pStyle w:val="af"/>
              <w:ind w:firstLine="0"/>
            </w:pPr>
          </w:p>
        </w:tc>
        <w:tc>
          <w:tcPr>
            <w:tcW w:w="5670" w:type="dxa"/>
          </w:tcPr>
          <w:p w:rsidR="00091DC1" w:rsidRDefault="00091DC1" w:rsidP="00633DBC">
            <w:pPr>
              <w:pStyle w:val="af"/>
              <w:ind w:firstLine="0"/>
            </w:pPr>
          </w:p>
        </w:tc>
        <w:tc>
          <w:tcPr>
            <w:tcW w:w="4217" w:type="dxa"/>
          </w:tcPr>
          <w:p w:rsidR="00091DC1" w:rsidRPr="00C604AA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091DC1" w:rsidRPr="00C604AA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0A4E90" w:rsidRDefault="000A4E90"/>
    <w:sectPr w:rsidR="000A4E90" w:rsidSect="000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E4" w:rsidRDefault="00DE6BE4" w:rsidP="00E14B20">
      <w:pPr>
        <w:spacing w:before="0"/>
      </w:pPr>
      <w:r>
        <w:separator/>
      </w:r>
    </w:p>
  </w:endnote>
  <w:endnote w:type="continuationSeparator" w:id="0">
    <w:p w:rsidR="00DE6BE4" w:rsidRDefault="00DE6BE4" w:rsidP="00E14B2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E4" w:rsidRDefault="00DE6BE4" w:rsidP="00E14B20">
      <w:pPr>
        <w:spacing w:before="0"/>
      </w:pPr>
      <w:r>
        <w:separator/>
      </w:r>
    </w:p>
  </w:footnote>
  <w:footnote w:type="continuationSeparator" w:id="0">
    <w:p w:rsidR="00DE6BE4" w:rsidRDefault="00DE6BE4" w:rsidP="00E14B2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07114A6"/>
    <w:multiLevelType w:val="multilevel"/>
    <w:tmpl w:val="BB76479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20"/>
    <w:rsid w:val="00007427"/>
    <w:rsid w:val="000224BA"/>
    <w:rsid w:val="00091DC1"/>
    <w:rsid w:val="000A4E90"/>
    <w:rsid w:val="000B1215"/>
    <w:rsid w:val="00107BF5"/>
    <w:rsid w:val="001139EB"/>
    <w:rsid w:val="00151B79"/>
    <w:rsid w:val="001B4C00"/>
    <w:rsid w:val="00286CB1"/>
    <w:rsid w:val="00341CD6"/>
    <w:rsid w:val="004A2E1C"/>
    <w:rsid w:val="00650586"/>
    <w:rsid w:val="0067601E"/>
    <w:rsid w:val="0073606F"/>
    <w:rsid w:val="007B2AAA"/>
    <w:rsid w:val="007C11C5"/>
    <w:rsid w:val="00880895"/>
    <w:rsid w:val="00887E55"/>
    <w:rsid w:val="008C36D6"/>
    <w:rsid w:val="0093033F"/>
    <w:rsid w:val="009350E2"/>
    <w:rsid w:val="009767BF"/>
    <w:rsid w:val="00A71B3B"/>
    <w:rsid w:val="00A85833"/>
    <w:rsid w:val="00BC21F8"/>
    <w:rsid w:val="00CF7416"/>
    <w:rsid w:val="00D1051D"/>
    <w:rsid w:val="00D20F74"/>
    <w:rsid w:val="00D7731A"/>
    <w:rsid w:val="00DE6BE4"/>
    <w:rsid w:val="00E05F7F"/>
    <w:rsid w:val="00E14B20"/>
    <w:rsid w:val="00E568DC"/>
    <w:rsid w:val="00E602A9"/>
    <w:rsid w:val="00F5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B20"/>
    <w:pPr>
      <w:spacing w:before="6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E14B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E1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E14B20"/>
    <w:pPr>
      <w:spacing w:after="120"/>
    </w:pPr>
    <w:rPr>
      <w:rFonts w:ascii="Arial" w:hAnsi="Arial"/>
      <w:szCs w:val="20"/>
    </w:rPr>
  </w:style>
  <w:style w:type="character" w:customStyle="1" w:styleId="a7">
    <w:name w:val="Основной текст Знак"/>
    <w:basedOn w:val="a1"/>
    <w:link w:val="a6"/>
    <w:rsid w:val="00E14B2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rsid w:val="00E14B20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E1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E14B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14B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E14B20"/>
    <w:pPr>
      <w:numPr>
        <w:numId w:val="2"/>
      </w:numPr>
      <w:spacing w:before="0" w:line="312" w:lineRule="auto"/>
      <w:jc w:val="both"/>
    </w:pPr>
  </w:style>
  <w:style w:type="paragraph" w:styleId="aa">
    <w:name w:val="Block Text"/>
    <w:basedOn w:val="a0"/>
    <w:rsid w:val="00E14B20"/>
    <w:pPr>
      <w:spacing w:before="40"/>
      <w:ind w:left="567" w:right="566" w:firstLine="567"/>
      <w:jc w:val="both"/>
    </w:pPr>
    <w:rPr>
      <w:i/>
      <w:sz w:val="20"/>
    </w:rPr>
  </w:style>
  <w:style w:type="paragraph" w:styleId="ab">
    <w:name w:val="footnote text"/>
    <w:basedOn w:val="a0"/>
    <w:link w:val="ac"/>
    <w:rsid w:val="00E14B20"/>
    <w:pPr>
      <w:spacing w:before="0"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E14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E14B20"/>
    <w:rPr>
      <w:vertAlign w:val="superscript"/>
    </w:rPr>
  </w:style>
  <w:style w:type="table" w:styleId="ae">
    <w:name w:val="Table Grid"/>
    <w:basedOn w:val="a2"/>
    <w:uiPriority w:val="59"/>
    <w:rsid w:val="00D7731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араграф"/>
    <w:basedOn w:val="a0"/>
    <w:link w:val="af0"/>
    <w:qFormat/>
    <w:rsid w:val="00091DC1"/>
    <w:pPr>
      <w:spacing w:before="0"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0">
    <w:name w:val="Параграф Знак"/>
    <w:basedOn w:val="a1"/>
    <w:link w:val="af"/>
    <w:rsid w:val="00091DC1"/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A85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GPI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2015-05-25T11:15:00Z</dcterms:created>
  <dcterms:modified xsi:type="dcterms:W3CDTF">2015-05-26T12:43:00Z</dcterms:modified>
</cp:coreProperties>
</file>