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</w:t>
      </w:r>
      <w:r w:rsidR="004B2FF0">
        <w:rPr>
          <w:lang w:val="en-US"/>
        </w:rPr>
        <w:t>4</w:t>
      </w:r>
      <w:r>
        <w:t xml:space="preserve">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ПРИМЕНЕНИЕ ОПТИЧЕСКОЙ СПЕКТРОСКОПИИ ДЛЯ ИССЛЕДОВАНИЯ НАНОСТРУКТУР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Биомедицинская фотоника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4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30</w:t>
            </w:r>
          </w:p>
        </w:tc>
        <w:tc>
          <w:tcPr>
            <w:tcW w:w="957" w:type="dxa"/>
          </w:tcPr>
          <w:p w:rsidR="00F66786" w:rsidRDefault="00F66786">
            <w:r>
              <w:t>12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Э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42</w:t>
            </w:r>
          </w:p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30</w:t>
            </w:r>
          </w:p>
        </w:tc>
        <w:tc>
          <w:tcPr>
            <w:tcW w:w="957" w:type="dxa"/>
          </w:tcPr>
          <w:p w:rsidR="00F66786" w:rsidRDefault="00F66786">
            <w:r>
              <w:t>12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М04-87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5874AF" w:rsidRDefault="00302B04">
      <w:pPr>
        <w:pStyle w:val="a8"/>
      </w:pPr>
      <w:r>
        <w:t xml:space="preserve">Целью дисциплины является обучение студентов научным знаниям по применения оптической спектроскопии для исследования наностуктур. Данный курс служит дополнением и развитием основных обязательных дисциплин. Он вводится с целью </w:t>
      </w:r>
      <w:r>
        <w:t>расширить и углублять знания студента в выбранном направлении.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5874AF" w:rsidRDefault="00302B04">
      <w:pPr>
        <w:pStyle w:val="a8"/>
      </w:pPr>
      <w:r>
        <w:t>Целью дисциплины является обучение студентов научным знаниям по применения оптической спектроскопии для исследования наностуктур. Данный курс служит дополнен</w:t>
      </w:r>
      <w:r>
        <w:t>ием и развитием основных обязательных дисциплин. Он вводится с целью расширить и углублять знания студента в выбранном направлении.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5874AF" w:rsidRDefault="00302B04">
      <w:pPr>
        <w:pStyle w:val="a8"/>
      </w:pPr>
      <w:r>
        <w:t>Содержание программы «Применение оптической спектроскопии для исследования н</w:t>
      </w:r>
      <w:r>
        <w:t>аноструктур» представляет собой развитие и углубление полученных ранее знаний в области физики. В ней используются основные понятия и представления, отвечающие теоретической базе, освоенной студентами при изучении дисциплин в рамках бакалавриата.</w:t>
      </w:r>
    </w:p>
    <w:p w:rsidR="005874AF" w:rsidRDefault="00302B04">
      <w:pPr>
        <w:pStyle w:val="a8"/>
      </w:pPr>
      <w:r>
        <w:t>Данная ди</w:t>
      </w:r>
      <w:r>
        <w:t>сциплина связана со следующими предшествующими дисциплинами: общая физика, квантовая механика, ядерная, атомная и молекулярная спектроскопия, оптика, физика твердого тела, разделы математики: дифференциальное и интегральное исчисления, теория рядов, уравне</w:t>
      </w:r>
      <w:r>
        <w:t>ния математической физики, теория вероятностей и математическая статистика. Освоение данной дисциплины имеет как самостоятельное значение, демонстрирующее объединение разных физических и математических методов, изучаемых и используемых в разных разделах фи</w:t>
      </w:r>
      <w:r>
        <w:t>зики, так и освоение основ микро- и нанотехнологий.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 xml:space="preserve">КОМПЕТЕНЦИИ СТУДЕНТА, ФОРМИРУЕМЫЕ В РЕЗУЛЬТАТЕ ОСВОЕНИЯ УЧЕБНОЙ ДИСЦИПЛИНЫ/ОЖИДАЕМЫЕ РЕЗУЛЬТАТЫ </w:t>
      </w:r>
      <w:r w:rsidRPr="006D0E0A">
        <w:lastRenderedPageBreak/>
        <w:t>ОБРАЗОВАНИЯ И КОМПЕТЕНЦИИ СТУДЕНТА ПО ЗАВЕРШЕНИИ ОСВОЕНИЯ ПРОГРАММЫ УЧЕБНОЙ ДИСЦИПЛИНЫ</w:t>
      </w:r>
    </w:p>
    <w:p w:rsidR="00FC7B70" w:rsidRDefault="00FC7B70" w:rsidP="00FC7B70">
      <w:pPr>
        <w:pStyle w:val="a8"/>
      </w:pPr>
      <w:r>
        <w:t>ПК-4, ПСК-11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 xml:space="preserve">В </w:t>
      </w:r>
      <w:r>
        <w:t>результате освоения дисциплины студент должен: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Знать: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З1. Многообразие углеродных наноструктур</w:t>
      </w:r>
    </w:p>
    <w:p w:rsidR="005874AF" w:rsidRDefault="00302B04">
      <w:pPr>
        <w:pStyle w:val="a8"/>
      </w:pPr>
      <w:r>
        <w:t>З2. Особенности двумерных, одномерных и нуль-мерных наноструктур</w:t>
      </w:r>
    </w:p>
    <w:p w:rsidR="005874AF" w:rsidRDefault="00302B04">
      <w:pPr>
        <w:pStyle w:val="a8"/>
      </w:pPr>
      <w:r>
        <w:t>З3. Особенности электронной структуры наноматериалов</w:t>
      </w:r>
    </w:p>
    <w:p w:rsidR="005874AF" w:rsidRDefault="00302B04">
      <w:pPr>
        <w:pStyle w:val="a8"/>
      </w:pPr>
      <w:r>
        <w:t>З4. Размерные эффекты в оптической спектр</w:t>
      </w:r>
      <w:r>
        <w:t>оскопии</w:t>
      </w:r>
    </w:p>
    <w:p w:rsidR="005874AF" w:rsidRDefault="00302B04">
      <w:pPr>
        <w:pStyle w:val="a8"/>
      </w:pPr>
      <w:r>
        <w:t>З5. Аппаратура для получения и регистрации спектров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Уметь: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У1. Характеризовать различные типы наноструктур</w:t>
      </w:r>
    </w:p>
    <w:p w:rsidR="005874AF" w:rsidRDefault="00302B04">
      <w:pPr>
        <w:pStyle w:val="a8"/>
      </w:pPr>
      <w:r>
        <w:t>У2. Различать двух- одно- и нуль- мерные наноструктуры</w:t>
      </w:r>
    </w:p>
    <w:p w:rsidR="005874AF" w:rsidRDefault="00302B04">
      <w:pPr>
        <w:pStyle w:val="a8"/>
      </w:pPr>
      <w:r>
        <w:t>У3. Определять характерный вид плотности электронных состояний для наноструктур разл</w:t>
      </w:r>
      <w:r>
        <w:t>ичной размерности</w:t>
      </w:r>
    </w:p>
    <w:p w:rsidR="005874AF" w:rsidRDefault="00302B04">
      <w:pPr>
        <w:pStyle w:val="a8"/>
      </w:pPr>
      <w:r>
        <w:t>У4. Моделировать зонную структуру наноструктур методом складывания зоны Бриллюэна</w:t>
      </w:r>
    </w:p>
    <w:p w:rsidR="005874AF" w:rsidRDefault="00302B04">
      <w:pPr>
        <w:pStyle w:val="a8"/>
      </w:pPr>
      <w:r>
        <w:t>У5. Анализировать размерные эффекты в оптической спектроскопии</w:t>
      </w:r>
    </w:p>
    <w:p w:rsidR="005874AF" w:rsidRDefault="00302B04">
      <w:pPr>
        <w:pStyle w:val="a8"/>
      </w:pPr>
      <w:r>
        <w:t xml:space="preserve">У6. Использовать основные виды спектроскопических установок для регистрации спектров </w:t>
      </w:r>
      <w:r>
        <w:t>наноматериалов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Владеть: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В1. Навыками различать виды наноструктур</w:t>
      </w:r>
    </w:p>
    <w:p w:rsidR="005874AF" w:rsidRDefault="00302B04">
      <w:pPr>
        <w:pStyle w:val="a8"/>
      </w:pPr>
      <w:r>
        <w:t>В2. Основными навыками работы на спектроскопических установках</w:t>
      </w:r>
    </w:p>
    <w:p w:rsidR="005874AF" w:rsidRDefault="00302B04">
      <w:pPr>
        <w:pStyle w:val="a8"/>
      </w:pPr>
      <w:r>
        <w:t>В3. Основными навыками анализа полученных спектров</w:t>
      </w:r>
    </w:p>
    <w:p w:rsidR="005874AF" w:rsidRDefault="00302B04">
      <w:pPr>
        <w:pStyle w:val="a8"/>
      </w:pPr>
      <w:r>
        <w:t xml:space="preserve">В4. Навыками получения данных о зонной и фононной структуре наноматериалов </w:t>
      </w:r>
      <w:r>
        <w:t xml:space="preserve"> на основе результатов спектроскопических исследований</w:t>
      </w:r>
    </w:p>
    <w:p w:rsidR="005874AF" w:rsidRDefault="005874AF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5874AF">
        <w:tc>
          <w:tcPr>
            <w:tcW w:w="5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2550" w:type="dxa"/>
          </w:tcPr>
          <w:p w:rsidR="005874AF" w:rsidRDefault="00302B04">
            <w:pPr>
              <w:pStyle w:val="a8"/>
              <w:ind w:firstLine="0"/>
            </w:pPr>
            <w:r>
              <w:rPr>
                <w:i/>
              </w:rPr>
              <w:t>4 семестр</w:t>
            </w:r>
          </w:p>
        </w:tc>
        <w:tc>
          <w:tcPr>
            <w:tcW w:w="7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</w:tr>
      <w:tr w:rsidR="005874AF">
        <w:tc>
          <w:tcPr>
            <w:tcW w:w="554" w:type="dxa"/>
          </w:tcPr>
          <w:p w:rsidR="005874AF" w:rsidRDefault="00302B04">
            <w:pPr>
              <w:pStyle w:val="a8"/>
              <w:ind w:firstLine="0"/>
            </w:pPr>
            <w:r>
              <w:lastRenderedPageBreak/>
              <w:t>1</w:t>
            </w:r>
          </w:p>
        </w:tc>
        <w:tc>
          <w:tcPr>
            <w:tcW w:w="2550" w:type="dxa"/>
          </w:tcPr>
          <w:p w:rsidR="005874AF" w:rsidRDefault="00302B04">
            <w:pPr>
              <w:pStyle w:val="a8"/>
              <w:ind w:firstLine="0"/>
            </w:pPr>
            <w:r>
              <w:t>Физика наноструктур</w:t>
            </w:r>
          </w:p>
        </w:tc>
        <w:tc>
          <w:tcPr>
            <w:tcW w:w="754" w:type="dxa"/>
          </w:tcPr>
          <w:p w:rsidR="005874AF" w:rsidRDefault="00302B04">
            <w:pPr>
              <w:pStyle w:val="a8"/>
              <w:ind w:firstLine="0"/>
            </w:pPr>
            <w:r>
              <w:t>1-8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3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15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6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Т-8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КИ, 8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30</w:t>
            </w:r>
          </w:p>
        </w:tc>
      </w:tr>
      <w:tr w:rsidR="005874AF">
        <w:tc>
          <w:tcPr>
            <w:tcW w:w="554" w:type="dxa"/>
          </w:tcPr>
          <w:p w:rsidR="005874AF" w:rsidRDefault="00302B04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5874AF" w:rsidRDefault="00302B04">
            <w:pPr>
              <w:pStyle w:val="a8"/>
              <w:ind w:firstLine="0"/>
            </w:pPr>
            <w:r>
              <w:t>Оптическая спектроскопия</w:t>
            </w:r>
          </w:p>
        </w:tc>
        <w:tc>
          <w:tcPr>
            <w:tcW w:w="754" w:type="dxa"/>
          </w:tcPr>
          <w:p w:rsidR="005874AF" w:rsidRDefault="00302B04">
            <w:pPr>
              <w:pStyle w:val="a8"/>
              <w:ind w:firstLine="0"/>
            </w:pPr>
            <w:r>
              <w:t>9-15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3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15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6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Т-16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КИ, 16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20</w:t>
            </w:r>
          </w:p>
        </w:tc>
      </w:tr>
      <w:tr w:rsidR="005874AF">
        <w:tc>
          <w:tcPr>
            <w:tcW w:w="5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2550" w:type="dxa"/>
          </w:tcPr>
          <w:p w:rsidR="005874AF" w:rsidRDefault="00302B04">
            <w:pPr>
              <w:pStyle w:val="a8"/>
              <w:ind w:firstLine="0"/>
            </w:pPr>
            <w:r>
              <w:rPr>
                <w:i/>
              </w:rPr>
              <w:t>Итого за 4 семестр</w:t>
            </w:r>
          </w:p>
        </w:tc>
        <w:tc>
          <w:tcPr>
            <w:tcW w:w="7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6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30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12</w:t>
            </w: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50</w:t>
            </w:r>
          </w:p>
        </w:tc>
      </w:tr>
      <w:tr w:rsidR="005874AF">
        <w:tc>
          <w:tcPr>
            <w:tcW w:w="5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2550" w:type="dxa"/>
          </w:tcPr>
          <w:p w:rsidR="005874AF" w:rsidRDefault="00302B04">
            <w:pPr>
              <w:pStyle w:val="a8"/>
              <w:ind w:firstLine="0"/>
            </w:pPr>
            <w:r>
              <w:rPr>
                <w:b/>
              </w:rPr>
              <w:t xml:space="preserve">Контрольные </w:t>
            </w:r>
            <w:r>
              <w:rPr>
                <w:b/>
              </w:rPr>
              <w:t>мероприятия после 4 семестра</w:t>
            </w:r>
          </w:p>
        </w:tc>
        <w:tc>
          <w:tcPr>
            <w:tcW w:w="7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Э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4B2FF0" w:rsidRDefault="00C37590" w:rsidP="00246A65">
      <w:pPr>
        <w:pStyle w:val="a8"/>
        <w:ind w:firstLine="0"/>
      </w:pPr>
    </w:p>
    <w:p w:rsidR="002F201D" w:rsidRPr="004B2FF0" w:rsidRDefault="008E1541" w:rsidP="008E1541">
      <w:pPr>
        <w:pStyle w:val="aa"/>
      </w:pPr>
      <w:r w:rsidRPr="004B2FF0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5874AF">
        <w:tc>
          <w:tcPr>
            <w:tcW w:w="973" w:type="dxa"/>
          </w:tcPr>
          <w:p w:rsidR="005874AF" w:rsidRDefault="005874AF"/>
        </w:tc>
        <w:tc>
          <w:tcPr>
            <w:tcW w:w="6365" w:type="dxa"/>
          </w:tcPr>
          <w:p w:rsidR="005874AF" w:rsidRDefault="00302B04">
            <w:r>
              <w:rPr>
                <w:i/>
              </w:rPr>
              <w:t>4 семестр</w:t>
            </w:r>
          </w:p>
        </w:tc>
        <w:tc>
          <w:tcPr>
            <w:tcW w:w="850" w:type="dxa"/>
          </w:tcPr>
          <w:p w:rsidR="005874AF" w:rsidRDefault="00302B04">
            <w:r>
              <w:t>6</w:t>
            </w:r>
          </w:p>
        </w:tc>
        <w:tc>
          <w:tcPr>
            <w:tcW w:w="1134" w:type="dxa"/>
          </w:tcPr>
          <w:p w:rsidR="005874AF" w:rsidRDefault="00302B04">
            <w:r>
              <w:t>30</w:t>
            </w:r>
          </w:p>
        </w:tc>
        <w:tc>
          <w:tcPr>
            <w:tcW w:w="815" w:type="dxa"/>
          </w:tcPr>
          <w:p w:rsidR="005874AF" w:rsidRDefault="00302B04">
            <w:r>
              <w:t>12</w:t>
            </w:r>
          </w:p>
        </w:tc>
      </w:tr>
      <w:tr w:rsidR="005874AF">
        <w:tc>
          <w:tcPr>
            <w:tcW w:w="973" w:type="dxa"/>
          </w:tcPr>
          <w:p w:rsidR="005874AF" w:rsidRDefault="00302B04">
            <w:r>
              <w:t>1 - 2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Введение</w:t>
            </w:r>
            <w:r>
              <w:br/>
              <w:t xml:space="preserve">Характеризация различных типов наноструктур. Полупроводниковые сверхрешетки, пористые слои, нанопроволоки и </w:t>
            </w:r>
            <w:r>
              <w:t>нанокристаллы (квантовые точки); наночастицы металлов; графен, углеродные нанотрубки и наночастицы. Размерность и проявление размерно-зависимых физических свойств различных наноматериалов</w:t>
            </w:r>
          </w:p>
        </w:tc>
        <w:tc>
          <w:tcPr>
            <w:tcW w:w="850" w:type="dxa"/>
          </w:tcPr>
          <w:p w:rsidR="005874AF" w:rsidRDefault="00302B04">
            <w:r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5874AF"/>
        </w:tc>
      </w:tr>
      <w:tr w:rsidR="005874AF">
        <w:tc>
          <w:tcPr>
            <w:tcW w:w="973" w:type="dxa"/>
          </w:tcPr>
          <w:p w:rsidR="005874AF" w:rsidRDefault="00302B04">
            <w:r>
              <w:t>3 - 5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Многообразие углеродных наноструктур</w:t>
            </w:r>
            <w:r>
              <w:br/>
              <w:t>Многообразие углеро</w:t>
            </w:r>
            <w:r>
              <w:t>дных наноструктур: фуллерены, одностенные и многостенные углеродные нанотрубки, наночастицы алмаза и графита, графен,  лукообразные структуры, углеродные стручки. Методы их синтеза и диагностики. Уникальные электронные и оптические свойства. Примеры исполь</w:t>
            </w:r>
            <w:r>
              <w:t>зования углеродных наноструктур в вакуумной электронике, наноэлектронике, газовом анализе, нелинейной оптике</w:t>
            </w:r>
          </w:p>
        </w:tc>
        <w:tc>
          <w:tcPr>
            <w:tcW w:w="850" w:type="dxa"/>
          </w:tcPr>
          <w:p w:rsidR="005874AF" w:rsidRDefault="00302B04">
            <w:r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302B04">
            <w:r>
              <w:t>3</w:t>
            </w:r>
          </w:p>
        </w:tc>
      </w:tr>
      <w:tr w:rsidR="005874AF">
        <w:tc>
          <w:tcPr>
            <w:tcW w:w="973" w:type="dxa"/>
          </w:tcPr>
          <w:p w:rsidR="005874AF" w:rsidRDefault="00302B04">
            <w:r>
              <w:t>6 - 8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Двумерные, одномерные и нуль-мерные наноструктуры</w:t>
            </w:r>
            <w:r>
              <w:br/>
              <w:t>Двумерные наноструктуры: Графен. Полупроводниковые сверхрешетки. Методы формирования</w:t>
            </w:r>
            <w:r>
              <w:t>. Электронная структура. Плотность электронных состояний. Размерно-зависимые правила отбора в комбинационном рассеянии света. Применение двумерных наноматериалов в наноэлектронике</w:t>
            </w:r>
            <w:r>
              <w:br/>
              <w:t>Одномерные наноструктуры: Квантовые проволоки. Нанотрубки и волокна. Одноато</w:t>
            </w:r>
            <w:r>
              <w:t>мные цепочки металлов. Методы формирования. Плотность электронных состояний. Электронный транспорт. Оптические свойства</w:t>
            </w:r>
            <w:r>
              <w:br/>
              <w:t>Нуль-мерные наноструктуры: Полупроводниковые квантовые точки. Методы синтеза. Размерно-зависимый сдвиг полос поглощения и люминесценции.</w:t>
            </w:r>
            <w:r>
              <w:t xml:space="preserve"> Использование квантовых точек в качестве люминесцентных маркеров в химии и биологии</w:t>
            </w:r>
          </w:p>
        </w:tc>
        <w:tc>
          <w:tcPr>
            <w:tcW w:w="850" w:type="dxa"/>
          </w:tcPr>
          <w:p w:rsidR="005874AF" w:rsidRDefault="00302B04">
            <w:r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302B04">
            <w:r>
              <w:t>3</w:t>
            </w:r>
          </w:p>
        </w:tc>
      </w:tr>
      <w:tr w:rsidR="005874AF">
        <w:tc>
          <w:tcPr>
            <w:tcW w:w="973" w:type="dxa"/>
          </w:tcPr>
          <w:p w:rsidR="005874AF" w:rsidRDefault="00302B04">
            <w:r>
              <w:t>9 - 10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Особенности электронной структуры наноматериалов</w:t>
            </w:r>
            <w:r>
              <w:br/>
              <w:t xml:space="preserve">Особенности электронной структуры наноматериалов. Методы расчета плотности электронных состояний на основе </w:t>
            </w:r>
            <w:r>
              <w:t>модели складывания зоны Бриллюэна. Плотность электронных состояний для 3-мерных, двумерныхю одномерных и 0-мерных наноструктур</w:t>
            </w:r>
          </w:p>
        </w:tc>
        <w:tc>
          <w:tcPr>
            <w:tcW w:w="850" w:type="dxa"/>
          </w:tcPr>
          <w:p w:rsidR="005874AF" w:rsidRDefault="00302B04">
            <w:r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5874AF"/>
        </w:tc>
      </w:tr>
      <w:tr w:rsidR="005874AF">
        <w:tc>
          <w:tcPr>
            <w:tcW w:w="973" w:type="dxa"/>
          </w:tcPr>
          <w:p w:rsidR="005874AF" w:rsidRDefault="00302B04">
            <w:r>
              <w:t>11 - 13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Размерные эффекты в оптической спектроскопии</w:t>
            </w:r>
            <w:r>
              <w:br/>
            </w:r>
            <w:r>
              <w:lastRenderedPageBreak/>
              <w:t>Размерные эффекты в оптической спектроскопии. Комбинационное рассеяние</w:t>
            </w:r>
            <w:r>
              <w:t xml:space="preserve"> света, оптическое поглощение в УФ, видимом и ближнем ИК диапазонах, люминесцентная спектроскопия. Модель пространственной локализации фононов.</w:t>
            </w:r>
          </w:p>
        </w:tc>
        <w:tc>
          <w:tcPr>
            <w:tcW w:w="850" w:type="dxa"/>
          </w:tcPr>
          <w:p w:rsidR="005874AF" w:rsidRDefault="00302B04">
            <w:r>
              <w:lastRenderedPageBreak/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302B04">
            <w:r>
              <w:t>3</w:t>
            </w:r>
          </w:p>
        </w:tc>
      </w:tr>
      <w:tr w:rsidR="005874AF">
        <w:tc>
          <w:tcPr>
            <w:tcW w:w="973" w:type="dxa"/>
          </w:tcPr>
          <w:p w:rsidR="005874AF" w:rsidRDefault="00302B04">
            <w:r>
              <w:lastRenderedPageBreak/>
              <w:t>14 - 16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Аппаратура для получения и регистрации спектров</w:t>
            </w:r>
            <w:r>
              <w:br/>
              <w:t xml:space="preserve">Аппаратура для получения и регистрации спектров. </w:t>
            </w:r>
            <w:r>
              <w:t>Спектрометры комбинационного рассеяния света, оптического поглощения и фотолюминесцентой спектроскопии. Источники возбуждающего излучения. Монохроматоры, Системы регистрации излучения. CCD-матрицы и ФЭУ.</w:t>
            </w:r>
          </w:p>
        </w:tc>
        <w:tc>
          <w:tcPr>
            <w:tcW w:w="850" w:type="dxa"/>
          </w:tcPr>
          <w:p w:rsidR="005874AF" w:rsidRDefault="00302B04">
            <w:r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302B04">
            <w:r>
              <w:t>3</w:t>
            </w:r>
          </w:p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5874AF" w:rsidRDefault="00302B04">
      <w:pPr>
        <w:pStyle w:val="a8"/>
      </w:pPr>
      <w:r>
        <w:t>При освоении</w:t>
      </w:r>
      <w:r>
        <w:t xml:space="preserve"> данной дисциплины основную роль играют аудиторные занятия в виде лекций, практических занятий и лабораторных работ, позволяющих закрепить знания, полученные на лекциях и выработать умения, а также получить необходимый для приобретения компетенций опыт пра</w:t>
      </w:r>
      <w:r>
        <w:t>ктической деятельности. Также предусмотрена самостоятельная работа студентов, заключающаяся в выполнении домашних заданий, повторении ранее пройденного материала и подготовке к контрольным мероприятиям.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5874AF" w:rsidRDefault="00302B04">
      <w:pPr>
        <w:pStyle w:val="a8"/>
      </w:pPr>
      <w:r>
        <w:t>Курс "Применения оптической спектроскопии для исследования наноструктур" расчитан на один семестр, преподается в 4-м семестре магистратуры и разделен на два раздела: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1. Физика наноструктур</w:t>
      </w:r>
    </w:p>
    <w:p w:rsidR="005874AF" w:rsidRDefault="00302B04">
      <w:pPr>
        <w:pStyle w:val="a8"/>
      </w:pPr>
      <w:r>
        <w:t>2. Оптическая спектроскопия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 xml:space="preserve">По </w:t>
      </w:r>
      <w:r>
        <w:t>завершении каждого раздела студентам будет предложено пройти Обязательный Текущий Контроль (ОТК), проводимый в виде теста.</w:t>
      </w:r>
    </w:p>
    <w:p w:rsidR="005874AF" w:rsidRDefault="00302B04">
      <w:pPr>
        <w:pStyle w:val="a8"/>
      </w:pPr>
      <w:r>
        <w:t>По результатам ответов на вопросы теста студентам начисляются баллы.</w:t>
      </w:r>
    </w:p>
    <w:p w:rsidR="005874AF" w:rsidRDefault="00302B04">
      <w:pPr>
        <w:pStyle w:val="a8"/>
      </w:pPr>
      <w:r>
        <w:t>Максимальное количетсво баллов, которые возможно набрать по окон</w:t>
      </w:r>
      <w:r>
        <w:t>чанию первого и второго разделов - 30 и 20 соответственно.</w:t>
      </w:r>
    </w:p>
    <w:p w:rsidR="005874AF" w:rsidRDefault="00302B04">
      <w:pPr>
        <w:pStyle w:val="a8"/>
      </w:pPr>
      <w:r>
        <w:t xml:space="preserve"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«Применения оптической спектроскопии для </w:t>
      </w:r>
      <w:r>
        <w:t>исследования наноструктур»</w:t>
      </w:r>
    </w:p>
    <w:p w:rsidR="005874AF" w:rsidRDefault="00302B04">
      <w:pPr>
        <w:pStyle w:val="a8"/>
      </w:pPr>
      <w:r>
        <w:t>На решение тестовых заданий студенту отводится 10 минут.</w:t>
      </w:r>
    </w:p>
    <w:p w:rsidR="005874AF" w:rsidRDefault="00302B04">
      <w:pPr>
        <w:pStyle w:val="a8"/>
      </w:pPr>
      <w:r>
        <w:t xml:space="preserve">Если студент не набирает 50% баллов по результатам теста, то задание считается незащитанным и у студента образуется долг, который должен быть закрыт в течение семестра или </w:t>
      </w:r>
      <w:r>
        <w:t>на зачетной неделе.</w:t>
      </w:r>
    </w:p>
    <w:p w:rsidR="005874AF" w:rsidRDefault="00302B04">
      <w:pPr>
        <w:pStyle w:val="a8"/>
      </w:pPr>
      <w:r>
        <w:t>Таким образом, к экзамену студент может максимально набрать 50 баллов.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Экзамен проводится в виде ответов на вопросы экзаменационного билета. Максимальное время подготовки ответа -  1 час.</w:t>
      </w:r>
    </w:p>
    <w:p w:rsidR="005874AF" w:rsidRDefault="00302B04">
      <w:pPr>
        <w:pStyle w:val="a8"/>
      </w:pPr>
      <w:r>
        <w:t>Экзаменационные вопросы и билеты приведены в Фо</w:t>
      </w:r>
      <w:r>
        <w:t>нде Оценочных Средств по данной дисциплине, являющимся неотъемлемой частью учебно-методического комплекса учебной дисциплины «Применения оптической спектроскопии для исследования наноструктур»</w:t>
      </w:r>
    </w:p>
    <w:p w:rsidR="005874AF" w:rsidRDefault="00302B04">
      <w:pPr>
        <w:pStyle w:val="a8"/>
      </w:pPr>
      <w:r>
        <w:t>По результатам экзамена студент может получить максимально 50 б</w:t>
      </w:r>
      <w:r>
        <w:t>аллов.</w:t>
      </w:r>
    </w:p>
    <w:p w:rsidR="005874AF" w:rsidRDefault="00302B04">
      <w:pPr>
        <w:pStyle w:val="a8"/>
      </w:pPr>
      <w:r>
        <w:t>Баллы, полученые за экзамен суммируются с баллами, полученными по результатам Обязательного Тукущего Контроля.</w:t>
      </w:r>
    </w:p>
    <w:p w:rsidR="005874AF" w:rsidRDefault="00302B04">
      <w:pPr>
        <w:pStyle w:val="a8"/>
      </w:pPr>
      <w:r>
        <w:t>Итого, максимальное количество баллов, которые может получить студент по данной дисциплине составляет 100.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Итоговая оценка промежуточного</w:t>
      </w:r>
      <w:r>
        <w:t xml:space="preserve"> контроля по дисциплине определяется на основании набранных баллов по следующей таблице: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lastRenderedPageBreak/>
        <w:t>Отлично (A) - 90-100 баллов</w:t>
      </w:r>
    </w:p>
    <w:p w:rsidR="005874AF" w:rsidRDefault="00302B04">
      <w:pPr>
        <w:pStyle w:val="a8"/>
      </w:pPr>
      <w:r>
        <w:t>Хорошо (D, C, B) - 70-89 баллов</w:t>
      </w:r>
    </w:p>
    <w:p w:rsidR="005874AF" w:rsidRDefault="00302B04">
      <w:pPr>
        <w:pStyle w:val="a8"/>
      </w:pPr>
      <w:r>
        <w:t>Удовлетворительно (E, D) - 60-69 баллов</w:t>
      </w:r>
    </w:p>
    <w:p w:rsidR="005874AF" w:rsidRDefault="00302B04">
      <w:pPr>
        <w:pStyle w:val="a8"/>
      </w:pPr>
      <w:r>
        <w:t>Неудовлетворительно (F) - менее 60 баллов</w:t>
      </w:r>
    </w:p>
    <w:p w:rsidR="005874AF" w:rsidRDefault="005874AF">
      <w:pPr>
        <w:pStyle w:val="a8"/>
      </w:pP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5874AF" w:rsidRDefault="00302B04">
      <w:r>
        <w:t>1. 535 А91 Оптические методы диагностики нанообъектов : учебное пособие, В. А. Астапенко, С. А. Зайцев, Москва: МФТИ, 2011</w:t>
      </w:r>
    </w:p>
    <w:p w:rsidR="005874AF" w:rsidRDefault="00302B04">
      <w:r>
        <w:t>2. ЭИ Ф50 Физические основы методов исследования наноструктур</w:t>
      </w:r>
      <w:r>
        <w:t xml:space="preserve"> и поверхности твердого тела  : учебное пособие для вузов, В. И. Троян [и др.], Москва: МИФИ, 2008</w:t>
      </w:r>
    </w:p>
    <w:p w:rsidR="005874AF" w:rsidRDefault="00302B04">
      <w:r>
        <w:t xml:space="preserve">3. 539.2 Ф50 Физические основы методов исследования наноструктур и поверхности твердого тела : учебное пособие для вузов, В. И. Троян [и др.], Москва: МИФИ, </w:t>
      </w:r>
      <w:r>
        <w:t>2008</w:t>
      </w:r>
    </w:p>
    <w:p w:rsidR="005874AF" w:rsidRDefault="00302B04">
      <w:r>
        <w:t>4. 539.2 К45 Введение в физику твердого тела : , Ч. Киттель , М.: МедиаСтар, 2006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5874AF" w:rsidRDefault="00302B04">
      <w:r>
        <w:t>Специальное программное обеспечение не требуется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5874AF" w:rsidRDefault="00302B04">
      <w:r>
        <w:t>Специальное материально-техническое обеспечение не требуется</w:t>
      </w:r>
    </w:p>
    <w:p w:rsidR="005874AF" w:rsidRDefault="00302B04">
      <w:pPr>
        <w:pStyle w:val="a8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5874AF">
        <w:trPr>
          <w:trHeight w:val="1134"/>
        </w:trPr>
        <w:tc>
          <w:tcPr>
            <w:tcW w:w="250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5670" w:type="dxa"/>
          </w:tcPr>
          <w:p w:rsidR="005874AF" w:rsidRDefault="00302B04">
            <w:r>
              <w:t>Образцова Елена Дмитрие</w:t>
            </w:r>
            <w:r>
              <w:t>вна к.ф.-м.н. с.н.с.</w:t>
            </w:r>
          </w:p>
        </w:tc>
        <w:tc>
          <w:tcPr>
            <w:tcW w:w="4217" w:type="dxa"/>
          </w:tcPr>
          <w:p w:rsidR="005874AF" w:rsidRDefault="00302B0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5874AF" w:rsidRDefault="00302B0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04" w:rsidRDefault="00302B04" w:rsidP="00E976C4">
      <w:pPr>
        <w:spacing w:after="0" w:line="240" w:lineRule="auto"/>
      </w:pPr>
      <w:r>
        <w:separator/>
      </w:r>
    </w:p>
  </w:endnote>
  <w:endnote w:type="continuationSeparator" w:id="0">
    <w:p w:rsidR="00302B04" w:rsidRDefault="00302B04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4B2FF0" w:rsidRDefault="00E976C4" w:rsidP="00010244">
    <w:pPr>
      <w:pStyle w:val="a5"/>
      <w:jc w:val="center"/>
      <w:rPr>
        <w:lang w:val="en-US"/>
      </w:rPr>
    </w:pPr>
    <w:r>
      <w:t>Москва, 201</w:t>
    </w:r>
    <w:r w:rsidR="004B2FF0">
      <w:rPr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04" w:rsidRDefault="00302B04" w:rsidP="00E976C4">
      <w:pPr>
        <w:spacing w:after="0" w:line="240" w:lineRule="auto"/>
      </w:pPr>
      <w:r>
        <w:separator/>
      </w:r>
    </w:p>
  </w:footnote>
  <w:footnote w:type="continuationSeparator" w:id="0">
    <w:p w:rsidR="00302B04" w:rsidRDefault="00302B04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B12A3"/>
    <w:rsid w:val="000C43E5"/>
    <w:rsid w:val="00130590"/>
    <w:rsid w:val="001378E6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2B04"/>
    <w:rsid w:val="00305144"/>
    <w:rsid w:val="00375D65"/>
    <w:rsid w:val="003C6B6F"/>
    <w:rsid w:val="003D0B1D"/>
    <w:rsid w:val="00441CD3"/>
    <w:rsid w:val="00495844"/>
    <w:rsid w:val="004B2FF0"/>
    <w:rsid w:val="004C3304"/>
    <w:rsid w:val="004E0B43"/>
    <w:rsid w:val="004F0B18"/>
    <w:rsid w:val="005151A7"/>
    <w:rsid w:val="005300F8"/>
    <w:rsid w:val="0053126D"/>
    <w:rsid w:val="00564213"/>
    <w:rsid w:val="005874AF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163</cp:revision>
  <dcterms:created xsi:type="dcterms:W3CDTF">2015-03-18T06:52:00Z</dcterms:created>
  <dcterms:modified xsi:type="dcterms:W3CDTF">2015-05-12T09:02:00Z</dcterms:modified>
</cp:coreProperties>
</file>